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6B" w:rsidRPr="0072116B" w:rsidRDefault="0072116B" w:rsidP="0072116B">
      <w:pPr>
        <w:widowControl/>
        <w:spacing w:before="100" w:beforeAutospacing="1" w:after="100" w:afterAutospacing="1"/>
        <w:jc w:val="center"/>
        <w:rPr>
          <w:rFonts w:ascii="Calibri" w:eastAsia="宋体" w:hAnsi="Calibri" w:cs="Calibri"/>
          <w:kern w:val="0"/>
          <w:sz w:val="28"/>
          <w:szCs w:val="21"/>
        </w:rPr>
      </w:pPr>
      <w:bookmarkStart w:id="0" w:name="_GoBack"/>
      <w:r w:rsidRPr="0072116B">
        <w:rPr>
          <w:rFonts w:ascii="宋体" w:eastAsia="宋体" w:hAnsi="宋体" w:cs="Calibri" w:hint="eastAsia"/>
          <w:b/>
          <w:bCs/>
          <w:kern w:val="0"/>
          <w:sz w:val="28"/>
          <w:szCs w:val="21"/>
        </w:rPr>
        <w:t>第九届“北仲杯”高校仲裁有奖征文大赛活动安排</w:t>
      </w:r>
    </w:p>
    <w:bookmarkEnd w:id="0"/>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一、大赛概况</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（一）主办单位：</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北京仲裁委员会/北京国际仲裁中心</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（二）参赛对象：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第九届“北仲杯”高校仲裁有奖征文大赛面向国内外院校征文，欢迎各高校学生[1]参加。</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（三）大赛时间：</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第九届“北仲杯”高校仲裁有奖征文大赛时间从2021年3月持续至2021年9月，不同阶段的时间安排详见“大赛安排”部分。</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（四）大赛特色：</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“北仲杯”高校仲裁有奖征文大赛依托</w:t>
      </w:r>
      <w:proofErr w:type="gramStart"/>
      <w:r w:rsidRPr="0072116B">
        <w:rPr>
          <w:rFonts w:ascii="宋体" w:eastAsia="宋体" w:hAnsi="宋体" w:cs="Calibri" w:hint="eastAsia"/>
          <w:kern w:val="0"/>
          <w:szCs w:val="21"/>
        </w:rPr>
        <w:t>北仲丰富</w:t>
      </w:r>
      <w:proofErr w:type="gramEnd"/>
      <w:r w:rsidRPr="0072116B">
        <w:rPr>
          <w:rFonts w:ascii="宋体" w:eastAsia="宋体" w:hAnsi="宋体" w:cs="Calibri" w:hint="eastAsia"/>
          <w:kern w:val="0"/>
          <w:szCs w:val="21"/>
        </w:rPr>
        <w:t>的仲裁</w:t>
      </w:r>
      <w:proofErr w:type="gramStart"/>
      <w:r w:rsidRPr="0072116B">
        <w:rPr>
          <w:rFonts w:ascii="宋体" w:eastAsia="宋体" w:hAnsi="宋体" w:cs="Calibri" w:hint="eastAsia"/>
          <w:kern w:val="0"/>
          <w:szCs w:val="21"/>
        </w:rPr>
        <w:t>员资源</w:t>
      </w:r>
      <w:proofErr w:type="gramEnd"/>
      <w:r w:rsidRPr="0072116B">
        <w:rPr>
          <w:rFonts w:ascii="宋体" w:eastAsia="宋体" w:hAnsi="宋体" w:cs="Calibri" w:hint="eastAsia"/>
          <w:kern w:val="0"/>
          <w:szCs w:val="21"/>
        </w:rPr>
        <w:t>和专业的期刊出版途径，通过国内外高校尽邀、专家学者同审、书面答辩相辅、理论实践结合、资金荣誉共助等方式，突出学术水准高、评审团队强等特色，最大限度实现比赛过程公开、比赛结果公正。</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（五）大赛目的：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“北仲杯”高校仲裁有奖征文大赛</w:t>
      </w:r>
      <w:proofErr w:type="gramStart"/>
      <w:r w:rsidRPr="0072116B">
        <w:rPr>
          <w:rFonts w:ascii="宋体" w:eastAsia="宋体" w:hAnsi="宋体" w:cs="Calibri" w:hint="eastAsia"/>
          <w:kern w:val="0"/>
          <w:szCs w:val="21"/>
        </w:rPr>
        <w:t>是北仲“摇篮计划”</w:t>
      </w:r>
      <w:proofErr w:type="gramEnd"/>
      <w:r w:rsidRPr="0072116B">
        <w:rPr>
          <w:rFonts w:ascii="宋体" w:eastAsia="宋体" w:hAnsi="宋体" w:cs="Calibri" w:hint="eastAsia"/>
          <w:kern w:val="0"/>
          <w:szCs w:val="21"/>
        </w:rPr>
        <w:t>[2]的一个分支，旨在鼓励高校法学专业学生熟悉仲裁，为更多青年才子将来成为仲裁事业推动者奠定基础。大赛于2013年首次举办，将遵循“弘扬仲裁文化、培育仲裁新人”的理念逐年开展。</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（六）参赛论文主题：</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参加本次大赛，作者需</w:t>
      </w:r>
      <w:proofErr w:type="gramStart"/>
      <w:r w:rsidRPr="0072116B">
        <w:rPr>
          <w:rFonts w:ascii="宋体" w:eastAsia="宋体" w:hAnsi="宋体" w:cs="Calibri" w:hint="eastAsia"/>
          <w:kern w:val="0"/>
          <w:szCs w:val="21"/>
        </w:rPr>
        <w:t>围绕商</w:t>
      </w:r>
      <w:proofErr w:type="gramEnd"/>
      <w:r w:rsidRPr="0072116B">
        <w:rPr>
          <w:rFonts w:ascii="宋体" w:eastAsia="宋体" w:hAnsi="宋体" w:cs="Calibri" w:hint="eastAsia"/>
          <w:kern w:val="0"/>
          <w:szCs w:val="21"/>
        </w:rPr>
        <w:t>事仲裁、投资仲裁或其他多元争议解决方式（ADR）相关的实体或程序法律问题撰文投稿，</w:t>
      </w:r>
      <w:proofErr w:type="gramStart"/>
      <w:r w:rsidRPr="0072116B">
        <w:rPr>
          <w:rFonts w:ascii="宋体" w:eastAsia="宋体" w:hAnsi="宋体" w:cs="Calibri" w:hint="eastAsia"/>
          <w:kern w:val="0"/>
          <w:szCs w:val="21"/>
        </w:rPr>
        <w:t>北仲鼓励</w:t>
      </w:r>
      <w:proofErr w:type="gramEnd"/>
      <w:r w:rsidRPr="0072116B">
        <w:rPr>
          <w:rFonts w:ascii="宋体" w:eastAsia="宋体" w:hAnsi="宋体" w:cs="Calibri" w:hint="eastAsia"/>
          <w:kern w:val="0"/>
          <w:szCs w:val="21"/>
        </w:rPr>
        <w:t>具有创新性和实践性的选题，大赛鼓励论文围绕但不限于以下主题展开：</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1.境外仲裁机构在中国内地仲裁的法律问题研究；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2.国际商事仲裁中</w:t>
      </w:r>
      <w:proofErr w:type="gramStart"/>
      <w:r w:rsidRPr="0072116B">
        <w:rPr>
          <w:rFonts w:ascii="宋体" w:eastAsia="宋体" w:hAnsi="宋体" w:cs="Calibri" w:hint="eastAsia"/>
          <w:kern w:val="0"/>
          <w:szCs w:val="21"/>
        </w:rPr>
        <w:t>的禁诉令</w:t>
      </w:r>
      <w:proofErr w:type="gramEnd"/>
      <w:r w:rsidRPr="0072116B">
        <w:rPr>
          <w:rFonts w:ascii="宋体" w:eastAsia="宋体" w:hAnsi="宋体" w:cs="Calibri" w:hint="eastAsia"/>
          <w:kern w:val="0"/>
          <w:szCs w:val="21"/>
        </w:rPr>
        <w:t>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3.中国仲裁司法审查制度运用的实证研究；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4.虚假仲裁的识别与防范机制；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5.国际仲裁中送达问题研究；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lastRenderedPageBreak/>
        <w:t>6.人工智能背景下智慧仲裁机制的创新与构建；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7.新冠疫情下仲裁面临的机遇、挑战及应对措施；</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8.破产程序与仲裁程序的交叉问题研究；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9.仲裁体制改革问题研究；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10.快速仲裁程序研究；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11.投资仲裁的上诉机制研究；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12.国际商事仲裁法律适用问题研究；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13.知识产权有效性的可仲裁性研究；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14.外国仲裁裁决承认与执行实证研究；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15.国际商事仲裁立法、实践的现代化与国际化发展方向研究；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16.中国投资协定中的投资仲裁条款研究；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17.构建更优仲裁程序的思考与建议。</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二、大赛安排</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（一）论文征集（2021年3月24日-2021年7月20日）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网上公告：本次大赛的相关信息将</w:t>
      </w:r>
      <w:proofErr w:type="gramStart"/>
      <w:r w:rsidRPr="0072116B">
        <w:rPr>
          <w:rFonts w:ascii="宋体" w:eastAsia="宋体" w:hAnsi="宋体" w:cs="Calibri" w:hint="eastAsia"/>
          <w:kern w:val="0"/>
          <w:szCs w:val="21"/>
        </w:rPr>
        <w:t>在北仲网站</w:t>
      </w:r>
      <w:proofErr w:type="gramEnd"/>
      <w:r w:rsidRPr="0072116B">
        <w:rPr>
          <w:rFonts w:ascii="宋体" w:eastAsia="宋体" w:hAnsi="宋体" w:cs="Calibri" w:hint="eastAsia"/>
          <w:kern w:val="0"/>
          <w:szCs w:val="21"/>
        </w:rPr>
        <w:t>上予以公告，面向国内外高等院校法学专业学生公开征集论文。</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论文要求：</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（1）字数：不少于5000字，原则上不超过15000字；</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（2）论文格式符合《北京仲裁》 “投稿要求”及“注释体例”中的格式规范（详见：http://www.bjac.org.cn/page/cbw/bzzc.html），来稿应附有对文章主要内容或者观点进行提炼的300字以内的中英文内容摘要，并附有3-5个中英文关键词，作者姓名处请以脚注注明作者院校、年级、学历、专业、研究方向、手机号码等基本信息；</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（3）本次大赛接受英文论文；</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（4）本次大赛不接受以合作作者署名的形式参赛；</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（5）投稿论文需未以任何形式公开发表，未获得</w:t>
      </w:r>
      <w:proofErr w:type="gramStart"/>
      <w:r w:rsidRPr="0072116B">
        <w:rPr>
          <w:rFonts w:ascii="宋体" w:eastAsia="宋体" w:hAnsi="宋体" w:cs="Calibri" w:hint="eastAsia"/>
          <w:kern w:val="0"/>
          <w:szCs w:val="21"/>
        </w:rPr>
        <w:t>北仲科研</w:t>
      </w:r>
      <w:proofErr w:type="gramEnd"/>
      <w:r w:rsidRPr="0072116B">
        <w:rPr>
          <w:rFonts w:ascii="宋体" w:eastAsia="宋体" w:hAnsi="宋体" w:cs="Calibri" w:hint="eastAsia"/>
          <w:kern w:val="0"/>
          <w:szCs w:val="21"/>
        </w:rPr>
        <w:t>基金项目资助且未在其他任何比赛中获得任何奖项，作者需保证论文符合学术道德规范并对论文的原创性和独创性负责。</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lastRenderedPageBreak/>
        <w:t>3. 投稿方式：有意参加本次征文大赛的作者，请将满足上述要求的论文电子版发送到以下邮箱：maxiaoxiao@bjac.org.cn，电子文档名称为“姓名+院校+论文题目”。</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 本次征文大赛投稿截止时间为：2021年7月20日。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（二）论文初审（2021年7月21日-2021年8月5日）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组成论文初审组：部分评审组专家将组成论文初审组。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论文初审：论文初审组对所有参赛论文进行初审。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初审结果：论文初审组根据初审情况在所有参赛论文中推选出三十篇优秀论文进入复审，进入复审阶段的论文作者和题目将</w:t>
      </w:r>
      <w:proofErr w:type="gramStart"/>
      <w:r w:rsidRPr="0072116B">
        <w:rPr>
          <w:rFonts w:ascii="宋体" w:eastAsia="宋体" w:hAnsi="宋体" w:cs="Calibri" w:hint="eastAsia"/>
          <w:kern w:val="0"/>
          <w:szCs w:val="21"/>
        </w:rPr>
        <w:t>在北仲网站</w:t>
      </w:r>
      <w:proofErr w:type="gramEnd"/>
      <w:r w:rsidRPr="0072116B">
        <w:rPr>
          <w:rFonts w:ascii="宋体" w:eastAsia="宋体" w:hAnsi="宋体" w:cs="Calibri" w:hint="eastAsia"/>
          <w:kern w:val="0"/>
          <w:szCs w:val="21"/>
        </w:rPr>
        <w:t>公示。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（三）论文复审（2021年8月6日-2021年8月27日）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组成论文复审组：部分评审组专家将组成论文复审组。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论文复审：论文</w:t>
      </w:r>
      <w:proofErr w:type="gramStart"/>
      <w:r w:rsidRPr="0072116B">
        <w:rPr>
          <w:rFonts w:ascii="宋体" w:eastAsia="宋体" w:hAnsi="宋体" w:cs="Calibri" w:hint="eastAsia"/>
          <w:kern w:val="0"/>
          <w:szCs w:val="21"/>
        </w:rPr>
        <w:t>复审组</w:t>
      </w:r>
      <w:proofErr w:type="gramEnd"/>
      <w:r w:rsidRPr="0072116B">
        <w:rPr>
          <w:rFonts w:ascii="宋体" w:eastAsia="宋体" w:hAnsi="宋体" w:cs="Calibri" w:hint="eastAsia"/>
          <w:kern w:val="0"/>
          <w:szCs w:val="21"/>
        </w:rPr>
        <w:t>对初审通过的三十篇论文进行复审。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复审结果：论文</w:t>
      </w:r>
      <w:proofErr w:type="gramStart"/>
      <w:r w:rsidRPr="0072116B">
        <w:rPr>
          <w:rFonts w:ascii="宋体" w:eastAsia="宋体" w:hAnsi="宋体" w:cs="Calibri" w:hint="eastAsia"/>
          <w:kern w:val="0"/>
          <w:szCs w:val="21"/>
        </w:rPr>
        <w:t>复审组</w:t>
      </w:r>
      <w:proofErr w:type="gramEnd"/>
      <w:r w:rsidRPr="0072116B">
        <w:rPr>
          <w:rFonts w:ascii="宋体" w:eastAsia="宋体" w:hAnsi="宋体" w:cs="Calibri" w:hint="eastAsia"/>
          <w:kern w:val="0"/>
          <w:szCs w:val="21"/>
        </w:rPr>
        <w:t>根据复审情况，在初审通过的三十篇论文中推选出十五篇优秀论文进入答辩审查阶段，进入答辩审查阶段的论文作者和题目将</w:t>
      </w:r>
      <w:proofErr w:type="gramStart"/>
      <w:r w:rsidRPr="0072116B">
        <w:rPr>
          <w:rFonts w:ascii="宋体" w:eastAsia="宋体" w:hAnsi="宋体" w:cs="Calibri" w:hint="eastAsia"/>
          <w:kern w:val="0"/>
          <w:szCs w:val="21"/>
        </w:rPr>
        <w:t>在北仲网站</w:t>
      </w:r>
      <w:proofErr w:type="gramEnd"/>
      <w:r w:rsidRPr="0072116B">
        <w:rPr>
          <w:rFonts w:ascii="宋体" w:eastAsia="宋体" w:hAnsi="宋体" w:cs="Calibri" w:hint="eastAsia"/>
          <w:kern w:val="0"/>
          <w:szCs w:val="21"/>
        </w:rPr>
        <w:t>公示。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（四）答辩审查（2021年8月28日-2021年9月14日）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组成答辩组：部分评审组专家将组成论文答辩组。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组织答辩审查：论文</w:t>
      </w:r>
      <w:proofErr w:type="gramStart"/>
      <w:r w:rsidRPr="0072116B">
        <w:rPr>
          <w:rFonts w:ascii="宋体" w:eastAsia="宋体" w:hAnsi="宋体" w:cs="Calibri" w:hint="eastAsia"/>
          <w:kern w:val="0"/>
          <w:szCs w:val="21"/>
        </w:rPr>
        <w:t>答辩组</w:t>
      </w:r>
      <w:proofErr w:type="gramEnd"/>
      <w:r w:rsidRPr="0072116B">
        <w:rPr>
          <w:rFonts w:ascii="宋体" w:eastAsia="宋体" w:hAnsi="宋体" w:cs="Calibri" w:hint="eastAsia"/>
          <w:kern w:val="0"/>
          <w:szCs w:val="21"/>
        </w:rPr>
        <w:t>对复审通过的十五篇论文作者进行答辩审查。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（五）论文评选（2021年9月15日-2021年9月21日）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评分：根据复审和答辩的情况，对复审通过的十五篇论文进行加权打分，归纳得分情况。</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评选一二三等奖及优秀奖：按照加权得分从高到低，十五篇论文按照分数分别获得第九届“北仲杯”高校仲裁有奖征文大赛的一二三等奖及优秀奖，具体奖金与名额设置详见“奖励机制”部分。</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评选的结果将通过</w:t>
      </w:r>
      <w:proofErr w:type="gramStart"/>
      <w:r w:rsidRPr="0072116B">
        <w:rPr>
          <w:rFonts w:ascii="宋体" w:eastAsia="宋体" w:hAnsi="宋体" w:cs="Calibri" w:hint="eastAsia"/>
          <w:kern w:val="0"/>
          <w:szCs w:val="21"/>
        </w:rPr>
        <w:t>北仲官网以及北仲官方微信平台</w:t>
      </w:r>
      <w:proofErr w:type="gramEnd"/>
      <w:r w:rsidRPr="0072116B">
        <w:rPr>
          <w:rFonts w:ascii="宋体" w:eastAsia="宋体" w:hAnsi="宋体" w:cs="Calibri" w:hint="eastAsia"/>
          <w:kern w:val="0"/>
          <w:szCs w:val="21"/>
        </w:rPr>
        <w:t>发布。</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（六）颁奖典礼（具体时间另行通知）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组织颁奖典礼，为获奖作者颁发获奖证书。</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三、奖励机制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（一）奖项及奖金设置</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lastRenderedPageBreak/>
        <w:t>1. 一等奖：2名；奖金：8000元人民币。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二等奖：3名；奖金：5000元人民币。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三等奖：5名；奖金：2000元人民币。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 优秀奖：5名；奖金：1000元人民币。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（二）其他奖励</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论文发表：一二三等奖获奖论文在经过修改之后将有机会在《北京仲裁》上予以发表，《北京仲裁》编辑部将奉上稿酬。</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实习机会：</w:t>
      </w:r>
      <w:proofErr w:type="gramStart"/>
      <w:r w:rsidRPr="0072116B">
        <w:rPr>
          <w:rFonts w:ascii="宋体" w:eastAsia="宋体" w:hAnsi="宋体" w:cs="Calibri" w:hint="eastAsia"/>
          <w:kern w:val="0"/>
          <w:szCs w:val="21"/>
        </w:rPr>
        <w:t>北仲将</w:t>
      </w:r>
      <w:proofErr w:type="gramEnd"/>
      <w:r w:rsidRPr="0072116B">
        <w:rPr>
          <w:rFonts w:ascii="宋体" w:eastAsia="宋体" w:hAnsi="宋体" w:cs="Calibri" w:hint="eastAsia"/>
          <w:kern w:val="0"/>
          <w:szCs w:val="21"/>
        </w:rPr>
        <w:t>优先为获奖作者提供</w:t>
      </w:r>
      <w:proofErr w:type="gramStart"/>
      <w:r w:rsidRPr="0072116B">
        <w:rPr>
          <w:rFonts w:ascii="宋体" w:eastAsia="宋体" w:hAnsi="宋体" w:cs="Calibri" w:hint="eastAsia"/>
          <w:kern w:val="0"/>
          <w:szCs w:val="21"/>
        </w:rPr>
        <w:t>来北仲实习</w:t>
      </w:r>
      <w:proofErr w:type="gramEnd"/>
      <w:r w:rsidRPr="0072116B">
        <w:rPr>
          <w:rFonts w:ascii="宋体" w:eastAsia="宋体" w:hAnsi="宋体" w:cs="Calibri" w:hint="eastAsia"/>
          <w:kern w:val="0"/>
          <w:szCs w:val="21"/>
        </w:rPr>
        <w:t>的机会。</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四、附则</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（一）论文评选以公平、公正、择优推荐为原则，评审组在参考以下标准的基础上可根据经验评判论文质量：</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论文选题新颖，具有学术或实务研究价值。</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论文格式符合上述“论文征集”部分所列的论文要求（尽量引用原始文献和第一手资料，凡转引文献资料，应如实说明；引用他人观点、方案、资料、数据等，均应完整、客观注释）。</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论文结构完整，论证缜密，不属于教科书式的介绍。</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 论文语言表述规范，使用法言法语，语句通顺。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5. 论文逻辑清楚，观点明确，不存在粗制滥造、低水平重复、片面追求文字数量的现象。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6. 论文研究方法和研究成果具有一定学术价值或对仲裁实践有一定指导意义。</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（二）本活动安排由</w:t>
      </w:r>
      <w:proofErr w:type="gramStart"/>
      <w:r w:rsidRPr="0072116B">
        <w:rPr>
          <w:rFonts w:ascii="宋体" w:eastAsia="宋体" w:hAnsi="宋体" w:cs="Calibri" w:hint="eastAsia"/>
          <w:b/>
          <w:bCs/>
          <w:kern w:val="0"/>
          <w:szCs w:val="21"/>
        </w:rPr>
        <w:t>北仲负责</w:t>
      </w:r>
      <w:proofErr w:type="gramEnd"/>
      <w:r w:rsidRPr="0072116B">
        <w:rPr>
          <w:rFonts w:ascii="宋体" w:eastAsia="宋体" w:hAnsi="宋体" w:cs="Calibri" w:hint="eastAsia"/>
          <w:b/>
          <w:bCs/>
          <w:kern w:val="0"/>
          <w:szCs w:val="21"/>
        </w:rPr>
        <w:t>解释；</w:t>
      </w:r>
      <w:proofErr w:type="gramStart"/>
      <w:r w:rsidRPr="0072116B">
        <w:rPr>
          <w:rFonts w:ascii="宋体" w:eastAsia="宋体" w:hAnsi="宋体" w:cs="Calibri" w:hint="eastAsia"/>
          <w:b/>
          <w:bCs/>
          <w:kern w:val="0"/>
          <w:szCs w:val="21"/>
        </w:rPr>
        <w:t>北仲可以</w:t>
      </w:r>
      <w:proofErr w:type="gramEnd"/>
      <w:r w:rsidRPr="0072116B">
        <w:rPr>
          <w:rFonts w:ascii="宋体" w:eastAsia="宋体" w:hAnsi="宋体" w:cs="Calibri" w:hint="eastAsia"/>
          <w:b/>
          <w:bCs/>
          <w:kern w:val="0"/>
          <w:szCs w:val="21"/>
        </w:rPr>
        <w:t>根据活动开展情况将上述安排进行调整。</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jc w:val="right"/>
        <w:rPr>
          <w:rFonts w:ascii="Calibri" w:eastAsia="宋体" w:hAnsi="Calibri" w:cs="Calibri"/>
          <w:kern w:val="0"/>
          <w:szCs w:val="21"/>
        </w:rPr>
      </w:pPr>
      <w:r w:rsidRPr="0072116B">
        <w:rPr>
          <w:rFonts w:ascii="宋体" w:eastAsia="宋体" w:hAnsi="宋体" w:cs="Calibri" w:hint="eastAsia"/>
          <w:kern w:val="0"/>
          <w:szCs w:val="21"/>
        </w:rPr>
        <w:t>北京仲裁委员会/北京国际仲裁中心</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jc w:val="right"/>
        <w:rPr>
          <w:rFonts w:ascii="Calibri" w:eastAsia="宋体" w:hAnsi="Calibri" w:cs="Calibri"/>
          <w:kern w:val="0"/>
          <w:szCs w:val="21"/>
        </w:rPr>
      </w:pPr>
      <w:r w:rsidRPr="0072116B">
        <w:rPr>
          <w:rFonts w:ascii="宋体" w:eastAsia="宋体" w:hAnsi="宋体" w:cs="Calibri" w:hint="eastAsia"/>
          <w:kern w:val="0"/>
          <w:szCs w:val="21"/>
        </w:rPr>
        <w:t>2021年3月24日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jc w:val="left"/>
        <w:rPr>
          <w:rFonts w:ascii="Calibri" w:eastAsia="宋体" w:hAnsi="Calibri" w:cs="Calibri"/>
          <w:kern w:val="0"/>
          <w:szCs w:val="21"/>
        </w:rPr>
      </w:pPr>
      <w:r w:rsidRPr="0072116B">
        <w:rPr>
          <w:rFonts w:ascii="宋体" w:eastAsia="宋体" w:hAnsi="宋体" w:cs="Calibri" w:hint="eastAsia"/>
          <w:kern w:val="0"/>
          <w:szCs w:val="21"/>
        </w:rPr>
        <w:t>[1]学生包括国内外院校在读本科生、硕士研究生、博士研究生。</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[2]“摇篮计划”</w:t>
      </w:r>
      <w:proofErr w:type="gramStart"/>
      <w:r w:rsidRPr="0072116B">
        <w:rPr>
          <w:rFonts w:ascii="宋体" w:eastAsia="宋体" w:hAnsi="宋体" w:cs="Calibri" w:hint="eastAsia"/>
          <w:kern w:val="0"/>
          <w:szCs w:val="21"/>
        </w:rPr>
        <w:t>系北仲一</w:t>
      </w:r>
      <w:proofErr w:type="gramEnd"/>
      <w:r w:rsidRPr="0072116B">
        <w:rPr>
          <w:rFonts w:ascii="宋体" w:eastAsia="宋体" w:hAnsi="宋体" w:cs="Calibri" w:hint="eastAsia"/>
          <w:kern w:val="0"/>
          <w:szCs w:val="21"/>
        </w:rPr>
        <w:t>长期规划，旨在从高校中培养未来仲裁精英，为仲裁事业的长远发展培育新苗。</w:t>
      </w:r>
      <w:r w:rsidRPr="0072116B">
        <w:rPr>
          <w:rFonts w:ascii="Calibri" w:eastAsia="宋体" w:hAnsi="Calibri" w:cs="Calibri"/>
          <w:kern w:val="0"/>
          <w:szCs w:val="21"/>
        </w:rPr>
        <w:t xml:space="preserve"> </w:t>
      </w:r>
    </w:p>
    <w:p w:rsidR="0061263C" w:rsidRPr="0072116B" w:rsidRDefault="0061263C"/>
    <w:sectPr w:rsidR="0061263C" w:rsidRPr="0072116B">
      <w:pgSz w:w="11906" w:h="16838"/>
      <w:pgMar w:top="1440" w:right="1800" w:bottom="1440" w:left="1800" w:header="851" w:footer="992" w:gutter="0"/>
      <w:cols w:space="425"/>
      <w:docGrid w:type="lines" w:linePitch="312"/>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A8"/>
    <w:rsid w:val="0031684D"/>
    <w:rsid w:val="00503375"/>
    <w:rsid w:val="0061263C"/>
    <w:rsid w:val="0072116B"/>
    <w:rsid w:val="00DF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C32F0-B42D-46FB-A086-08D75F66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1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54923">
      <w:bodyDiv w:val="1"/>
      <w:marLeft w:val="0"/>
      <w:marRight w:val="0"/>
      <w:marTop w:val="0"/>
      <w:marBottom w:val="0"/>
      <w:divBdr>
        <w:top w:val="none" w:sz="0" w:space="0" w:color="auto"/>
        <w:left w:val="none" w:sz="0" w:space="0" w:color="auto"/>
        <w:bottom w:val="none" w:sz="0" w:space="0" w:color="auto"/>
        <w:right w:val="none" w:sz="0" w:space="0" w:color="auto"/>
      </w:divBdr>
    </w:div>
    <w:div w:id="20608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2021-11-04T08:34:00Z</dcterms:created>
  <dcterms:modified xsi:type="dcterms:W3CDTF">2021-11-04T08:34:00Z</dcterms:modified>
</cp:coreProperties>
</file>